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48036">
      <w:pPr>
        <w:autoSpaceDE w:val="0"/>
        <w:autoSpaceDN w:val="0"/>
        <w:adjustRightInd w:val="0"/>
        <w:snapToGrid w:val="0"/>
        <w:spacing w:line="579" w:lineRule="exact"/>
        <w:jc w:val="center"/>
        <w:rPr>
          <w:rFonts w:hint="eastAsia" w:ascii="华文中宋" w:hAnsi="华文中宋" w:eastAsia="华文中宋" w:cs="Times New Roman"/>
          <w:bCs/>
          <w:color w:val="000000"/>
          <w:sz w:val="44"/>
          <w:szCs w:val="44"/>
        </w:rPr>
      </w:pPr>
      <w:r>
        <w:rPr>
          <w:rFonts w:hint="eastAsia" w:ascii="华文中宋" w:hAnsi="华文中宋" w:eastAsia="华文中宋" w:cs="方正小标宋简体"/>
          <w:bCs/>
          <w:color w:val="000000"/>
          <w:sz w:val="44"/>
          <w:szCs w:val="44"/>
        </w:rPr>
        <w:t>《上海市化学工业区管理办法（</w:t>
      </w:r>
      <w:r>
        <w:rPr>
          <w:rFonts w:hint="eastAsia" w:ascii="华文中宋" w:hAnsi="华文中宋" w:eastAsia="华文中宋" w:cs="方正小标宋简体"/>
          <w:bCs/>
          <w:color w:val="000000"/>
          <w:sz w:val="44"/>
          <w:szCs w:val="44"/>
          <w:lang w:val="en-US" w:eastAsia="zh-CN"/>
        </w:rPr>
        <w:t>修订草案</w:t>
      </w:r>
      <w:r>
        <w:rPr>
          <w:rFonts w:hint="eastAsia" w:ascii="华文中宋" w:hAnsi="华文中宋" w:eastAsia="华文中宋" w:cs="方正小标宋简体"/>
          <w:bCs/>
          <w:color w:val="000000"/>
          <w:sz w:val="44"/>
          <w:szCs w:val="44"/>
        </w:rPr>
        <w:t>）》制定背景</w:t>
      </w:r>
    </w:p>
    <w:p w14:paraId="17B74B78">
      <w:pPr>
        <w:widowControl/>
        <w:snapToGrid w:val="0"/>
        <w:spacing w:line="579" w:lineRule="exact"/>
        <w:ind w:firstLine="681" w:firstLineChars="213"/>
        <w:rPr>
          <w:rFonts w:hint="eastAsia" w:ascii="仿宋_GB2312" w:hAnsi="仿宋_GB2312" w:eastAsia="仿宋_GB2312" w:cs="仿宋_GB2312"/>
          <w:sz w:val="32"/>
          <w:szCs w:val="32"/>
        </w:rPr>
      </w:pPr>
    </w:p>
    <w:p w14:paraId="6DD708BE">
      <w:pPr>
        <w:widowControl/>
        <w:snapToGrid w:val="0"/>
        <w:spacing w:line="579" w:lineRule="exact"/>
        <w:ind w:firstLine="681" w:firstLineChars="213"/>
        <w:rPr>
          <w:rFonts w:hint="eastAsia" w:ascii="仿宋_GB2312" w:hAnsi="仿宋_GB2312" w:eastAsia="仿宋_GB2312" w:cs="仿宋_GB2312"/>
          <w:sz w:val="32"/>
          <w:szCs w:val="32"/>
        </w:rPr>
      </w:pPr>
      <w:r>
        <w:rPr>
          <w:rFonts w:ascii="仿宋_GB2312" w:hAnsi="仿宋_GB2312" w:eastAsia="仿宋_GB2312" w:cs="仿宋_GB2312"/>
          <w:sz w:val="32"/>
          <w:szCs w:val="32"/>
        </w:rPr>
        <w:t>为规范上海化学工业区（以下简称“化工区”）管理、</w:t>
      </w:r>
      <w:r>
        <w:rPr>
          <w:rFonts w:hint="eastAsia" w:ascii="仿宋_GB2312" w:hAnsi="仿宋_GB2312" w:eastAsia="仿宋_GB2312" w:cs="仿宋_GB2312"/>
          <w:sz w:val="32"/>
          <w:szCs w:val="32"/>
        </w:rPr>
        <w:t>推进化工区</w:t>
      </w:r>
      <w:r>
        <w:rPr>
          <w:rFonts w:ascii="仿宋_GB2312" w:hAnsi="仿宋_GB2312" w:eastAsia="仿宋_GB2312" w:cs="仿宋_GB2312"/>
          <w:sz w:val="32"/>
          <w:szCs w:val="32"/>
        </w:rPr>
        <w:t>高质量发展，根据本市立法工作</w:t>
      </w:r>
      <w:r>
        <w:rPr>
          <w:rFonts w:hint="eastAsia" w:ascii="仿宋_GB2312" w:hAnsi="仿宋_GB2312" w:eastAsia="仿宋_GB2312" w:cs="仿宋_GB2312"/>
          <w:sz w:val="32"/>
          <w:szCs w:val="32"/>
        </w:rPr>
        <w:t>计划</w:t>
      </w:r>
      <w:r>
        <w:rPr>
          <w:rFonts w:ascii="仿宋_GB2312" w:hAnsi="仿宋_GB2312" w:eastAsia="仿宋_GB2312" w:cs="仿宋_GB2312"/>
          <w:sz w:val="32"/>
          <w:szCs w:val="32"/>
        </w:rPr>
        <w:t>，起草了《上海市化学工业区管理办法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修订草案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》（以下简称《办法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修订草案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有关</w:t>
      </w:r>
      <w:r>
        <w:rPr>
          <w:rFonts w:ascii="仿宋_GB2312" w:hAnsi="仿宋_GB2312" w:eastAsia="仿宋_GB2312" w:cs="仿宋_GB2312"/>
          <w:sz w:val="32"/>
          <w:szCs w:val="32"/>
        </w:rPr>
        <w:t>情况说明如下：</w:t>
      </w:r>
    </w:p>
    <w:p w14:paraId="6D774C2B">
      <w:pPr>
        <w:widowControl/>
        <w:snapToGrid w:val="0"/>
        <w:spacing w:line="579" w:lineRule="exact"/>
        <w:ind w:firstLine="684" w:firstLineChars="213"/>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一、起草背景</w:t>
      </w:r>
    </w:p>
    <w:p w14:paraId="56111C68">
      <w:pPr>
        <w:widowControl/>
        <w:snapToGrid w:val="0"/>
        <w:spacing w:line="579" w:lineRule="exact"/>
        <w:ind w:firstLine="681" w:firstLineChars="2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民经济和社会发展第十五个五年规划纲要》突出推动高质量发展，将发展新质生产力作为高质量发展的内在要求，提出“坚持智能化、绿色化、融合化方向，构建以先进制造业为骨干的现代化产业体系”“推动钢铁、石化、船舶等产业结构调整，做强做优一流石化基地”等要求。《上海市国民经济和社会发展第十五个五年规划纲要》也提出：“持续推动经济高质量发展，因地制宜发展新质生产力，积极培育世界级高端产业集群”“推动传统产业数智化、绿色化转型”“推动化工产业向新型功能材料转型。”化工区作为本市重要石化化工产业核心承载区，亟须以制度创新驱动产业升级。同时，化工区作为本市重要的危险化学品生产、储存、使用集中区域，安全风险防控与生态环境保护任务艰巨、责任重大。为固化化工区改革经验成果，适应化工区管理实际需要，亟须修订《办法》，明确管理职能优化</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后化工区管理体制机制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强化与市级部门、属地政府联动配合，推动化工区管理衔接、运行顺畅，为化工区</w:t>
      </w:r>
      <w:r>
        <w:rPr>
          <w:rFonts w:hint="eastAsia"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rPr>
        <w:t>提供坚实制度保障。</w:t>
      </w:r>
    </w:p>
    <w:p w14:paraId="697BA8A8">
      <w:pPr>
        <w:widowControl/>
        <w:snapToGrid w:val="0"/>
        <w:spacing w:line="579" w:lineRule="exact"/>
        <w:ind w:firstLine="684" w:firstLineChars="213"/>
        <w:rPr>
          <w:rFonts w:hint="eastAsia" w:ascii="黑体" w:hAnsi="黑体" w:eastAsia="黑体" w:cs="黑体"/>
          <w:b/>
          <w:bCs/>
          <w:color w:val="000000"/>
          <w:sz w:val="32"/>
          <w:szCs w:val="32"/>
          <w:lang w:val="en"/>
        </w:rPr>
      </w:pPr>
      <w:r>
        <w:rPr>
          <w:rFonts w:hint="eastAsia" w:ascii="黑体" w:hAnsi="黑体" w:eastAsia="黑体" w:cs="黑体"/>
          <w:b/>
          <w:bCs/>
          <w:color w:val="000000"/>
          <w:sz w:val="32"/>
          <w:szCs w:val="32"/>
        </w:rPr>
        <w:t>二、主要内容</w:t>
      </w:r>
    </w:p>
    <w:p w14:paraId="48021DEE">
      <w:pPr>
        <w:widowControl/>
        <w:snapToGrid w:val="0"/>
        <w:spacing w:line="579" w:lineRule="exact"/>
        <w:ind w:firstLine="681" w:firstLineChars="2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val="en-US" w:eastAsia="zh-CN"/>
        </w:rPr>
        <w:t>修订草案</w:t>
      </w:r>
      <w:r>
        <w:rPr>
          <w:rFonts w:hint="eastAsia" w:ascii="仿宋_GB2312" w:hAnsi="仿宋_GB2312" w:eastAsia="仿宋_GB2312" w:cs="仿宋_GB2312"/>
          <w:sz w:val="32"/>
          <w:szCs w:val="32"/>
        </w:rPr>
        <w:t>）》共六章二十八条，主要内容如下：</w:t>
      </w:r>
    </w:p>
    <w:p w14:paraId="6D1700FC">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（一）明确发展目标（第三条）。</w:t>
      </w:r>
      <w:r>
        <w:rPr>
          <w:rFonts w:hint="eastAsia" w:ascii="仿宋_GB2312" w:hAnsi="仿宋_GB2312" w:eastAsia="仿宋_GB2312" w:cs="仿宋_GB2312"/>
          <w:sz w:val="32"/>
          <w:szCs w:val="32"/>
        </w:rPr>
        <w:t>陈吉宁书记调研时指出，“上海化工区作为核心承载区，</w:t>
      </w:r>
      <w:bookmarkStart w:id="0" w:name="_GoBack"/>
      <w:bookmarkEnd w:id="0"/>
      <w:r>
        <w:rPr>
          <w:rFonts w:hint="eastAsia" w:ascii="仿宋_GB2312" w:hAnsi="仿宋_GB2312" w:eastAsia="仿宋_GB2312" w:cs="仿宋_GB2312"/>
          <w:sz w:val="32"/>
          <w:szCs w:val="32"/>
        </w:rPr>
        <w:t>要对标国际最高标准、最好水平，加快升级打造创新引领、绿色低碳、精细高效的世界级化工园区，成为上海加快发展新质生产力的重要阵地。”为落实相关指示要求，结合化工区“产品项目一体化、公用辅助一体化、物流传输一体化、安全环保一体化、管理服务一体化”的开发理念，明确化工区发展目标为坚持五个一体化开发建设理念，打造创新引领、绿色低碳、精细高效的世界级化工园区。</w:t>
      </w:r>
    </w:p>
    <w:p w14:paraId="268DB6B7">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（二）明确管理职责（第四、五条）。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明确管委会职责。结合化工区管理实际情况，对管委会职责进行固化，明确管委会作为市政府派出机构，履行规划编制、产业统筹、项目审批、应急管理等职责，保障统一高效管理。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明确其他管理职责。一方面，明确市有关部门和金山区、奉贤区政府支持管委会的各项工作，按照各自职责承担相关的行政事务。另一方面，按照管理职能优化调整方案，明确市应急管理、生态环境、市场监管、公安、消防救援、交通、卫生健康、城管执法等部门在化工区的管理职责。</w:t>
      </w:r>
    </w:p>
    <w:p w14:paraId="25A74500">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（三）强化规划建设（第六、七、八条）。</w:t>
      </w:r>
      <w:r>
        <w:rPr>
          <w:rFonts w:hint="eastAsia" w:ascii="仿宋_GB2312" w:hAnsi="仿宋_GB2312" w:eastAsia="仿宋_GB2312" w:cs="仿宋_GB2312"/>
          <w:sz w:val="32"/>
          <w:szCs w:val="32"/>
        </w:rPr>
        <w:t>为提升化工区规划建设的科学性、系统性，保障产业与城市功能协调发展，</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对化工区规划建设作了规定。</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规划编制。按照规划编制权限，明确管委会会同市相关部门编制化工区控制性详细规划和相关专项规划。</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土地储备和前期开发。管委会负责统筹金山区、奉贤区政府编制土地储备计划和土地利用年度计划，相关计划由上述主体分别实施。房屋和土地征收由金山区、奉贤区政府依法实施。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公用配套设施建设与运行。公用配套设施是化工区开发建设的重要支撑，</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分别对管委会统一规划、统筹推进化工区公用配套设施建设，相关设施产权单位、管理单位、运营单位的职责作了规定。</w:t>
      </w:r>
    </w:p>
    <w:p w14:paraId="1D0EE586">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（四）促进产业创新发展（第九、十条）。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产业发展方向和重点。结合化工区发展实际，明确重点发展石油化工、精细化工、化工新材料等产业，发展电子化学品、生物制造、新能源等新兴领域；市、区政府及相关部门给予支持。</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科技创新与产业创新融合发展。体现化工区科技创新特色，支持电子化学品、新材料、生物制造、新能源和绿色低碳等领域开展研发实验、概念验证、小试中试等活动，推动科技创新与产业创新融合发展；支持专业化、开放型中试平台建设，探索优化中试项目相关审批工作，实行包容审慎监管。</w:t>
      </w:r>
    </w:p>
    <w:p w14:paraId="5F87F4F5">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（五）加强安全生产管理（第十一、十二、十三、十四条）。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安全生产管理。一方面，明确化工区内企业依法承担安全生产主体责任。另一方面，结合国家和本市法律法规规定，</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管委会、市应急管理部门在化工区内的安全生产管理职责，管委会</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监督检查、对危险化学品进行动态监管、风险监测预警、整体性安全风险评估等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市应急管理部门</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开展综合监督管理，重点对风险隐患较大的企业开展检查，依法组织或者参与生产安全事故调查处理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特种设备管理。</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管委会与市市场监管部门特种设备管理职责，管委会负责督促企业落实特种设备安全管控措施，引导企业设备更新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市市场监管部门按照职责实施特种设备安全监督管理，督促企业依法开展设备检验检测、维护保养，建立设备安全技术档案。</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封闭管理。按照《化工园区建设标准和认定管理办法（试行）》（工信部联原〔2021〕220号）等文件要求，化工园区应按照“分类控制、分级管理、分步实施”要求，结合产业结构、产业链特点、安全风险类型等实际情况，分区实行封闭化管理，考虑目前化工区四个区域管理条件存在差异，</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明确根据安全风险等实际情况，对化工区实施分区域封闭化管理。</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职业健康。管委会协助市卫生健康部门在化工区内开展卫生执法检查和事故调查处理等工作。</w:t>
      </w:r>
    </w:p>
    <w:p w14:paraId="7DCD4C71">
      <w:pPr>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（六）加强生态保护（第十五条）。</w:t>
      </w:r>
      <w:r>
        <w:rPr>
          <w:rFonts w:hint="eastAsia" w:ascii="仿宋_GB2312" w:hAnsi="仿宋_GB2312" w:eastAsia="仿宋_GB2312" w:cs="仿宋_GB2312"/>
          <w:sz w:val="32"/>
          <w:szCs w:val="32"/>
        </w:rPr>
        <w:t>开展生态环境管理、降低环境风险是化工区的重要任务之一，</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新增了生态保护条款，管委会负责健全生态环境保护责任制度，明确管理机构和人员，落实生态环境分区管控要求，配套建设相关环境基础设施；市生态环境主管部门负责实施统一监督管理，实施环境影响评价分类管理，对豁免环境影响评价的行业项目，制定建设项目生态环境准入指引。</w:t>
      </w:r>
    </w:p>
    <w:p w14:paraId="47FA8B67">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（七）推动绿色低碳转型（第十六、十七、十八条）。</w:t>
      </w:r>
      <w:r>
        <w:rPr>
          <w:rFonts w:hint="eastAsia" w:ascii="仿宋_GB2312" w:hAnsi="仿宋_GB2312" w:eastAsia="仿宋_GB2312" w:cs="仿宋_GB2312"/>
          <w:sz w:val="32"/>
          <w:szCs w:val="32"/>
        </w:rPr>
        <w:t>响应国家“碳达峰、碳中和”战略与上海市“绿色低碳转型”部署等要求，明确节能降碳目标与路径。</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发展循环经济，推动化工区设施共享、物料互供、能量梯级利用、再生资源利用，推进固体废物、工业废水分类收集、集中处置和资源化利用，构建污染物集中治理、循环利用一体化绿色发展模式。</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推进能源高效利用，支持化工区内企业开展余热余压利用、热电联产、系统节能改造、绿电替代等，提升可再生能源与清洁能源应用比例，控制能源消耗与碳排放强度。</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开展绿色低碳供应管理，鼓励化工区内企业开展绿色低碳供应管理，采购绿色低碳原料，开展绿色产品认证，采用绿色低碳物流，带动供应链上下游落实节能降碳措施和协同降碳。</w:t>
      </w:r>
    </w:p>
    <w:p w14:paraId="71C2CE19">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（八）明确管理事项的委托（第十九条）。</w:t>
      </w:r>
      <w:r>
        <w:rPr>
          <w:rFonts w:hint="eastAsia" w:ascii="仿宋_GB2312" w:hAnsi="仿宋_GB2312" w:eastAsia="仿宋_GB2312" w:cs="仿宋_GB2312"/>
          <w:sz w:val="32"/>
          <w:szCs w:val="32"/>
        </w:rPr>
        <w:t>根据《行政许可法》规定：“行政机关在其法定职权范围内，依照法律、法规、规章的规定，可以委托其他行政机关实施行政许可。”</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作为规章，对市有关部门委托管委会实施的行政许可事项作了规定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对于管委会接受市有关部门委托实施的其他管理事项，由市政府确定并发文公布。</w:t>
      </w:r>
    </w:p>
    <w:p w14:paraId="5969938F">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（九）建立工作机制（第二十、二十一条）。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重大事项协调沟通。管委会牵头组织与市有关部门以及金山区、奉贤区政府沟通重要情况，协调重大问题，明确相关措施与各方责任；市有关部门及两区政府制定与化工区管理密切相关的重要决策、监管措施，或者作出涉及化工区产业发展、园区建设的管理行为前，征求管委会意见。</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监管协同。管委会会同市相关部门建立涉企监管协调机制，强化监管协同。管委会发现存在违法行为，告知相关部门；市相关部门开展行政检查，或者作出与化工区相关的行政许可、行政处罚等行政行为，与管委会共享信息。</w:t>
      </w:r>
    </w:p>
    <w:p w14:paraId="424EC62B">
      <w:pPr>
        <w:widowControl/>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（十）加强应急管理（第二十二、二十三条）。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应急预案编制。明确管委会以及化工区内企业应急预案编制要求。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应急响应与处置。化工区建立应急响应平台，推动形成驻区单位联动的应急响应体系，</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明确建立化工区统一应急响应平台，整合相关应急救援资源。突发事件发生后，立即启动应急响应。</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紧急避难场所设置。</w:t>
      </w:r>
      <w:r>
        <w:rPr>
          <w:rFonts w:hint="eastAsia" w:ascii="仿宋_GB2312" w:hAnsi="仿宋_GB2312" w:eastAsia="仿宋_GB2312" w:cs="仿宋_GB2312"/>
          <w:sz w:val="32"/>
          <w:szCs w:val="32"/>
          <w:lang w:val="en-US" w:eastAsia="zh-CN"/>
        </w:rPr>
        <w:t>管理职能优化调整后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处置</w:t>
      </w:r>
      <w:r>
        <w:rPr>
          <w:rFonts w:hint="eastAsia" w:ascii="仿宋_GB2312" w:hAnsi="仿宋_GB2312" w:eastAsia="仿宋_GB2312" w:cs="仿宋_GB2312"/>
          <w:sz w:val="32"/>
          <w:szCs w:val="32"/>
        </w:rPr>
        <w:t>突发事件</w:t>
      </w:r>
      <w:r>
        <w:rPr>
          <w:rFonts w:hint="eastAsia" w:ascii="仿宋_GB2312" w:hAnsi="仿宋_GB2312" w:eastAsia="仿宋_GB2312" w:cs="仿宋_GB2312"/>
          <w:sz w:val="32"/>
          <w:szCs w:val="32"/>
          <w:lang w:val="en-US" w:eastAsia="zh-CN"/>
        </w:rPr>
        <w:t>必要时需要所在区支援协助。</w:t>
      </w:r>
      <w:r>
        <w:rPr>
          <w:rFonts w:hint="eastAsia" w:ascii="仿宋_GB2312" w:hAnsi="仿宋_GB2312" w:eastAsia="仿宋_GB2312" w:cs="仿宋_GB2312"/>
          <w:sz w:val="32"/>
          <w:szCs w:val="32"/>
        </w:rPr>
        <w:t>因此，</w:t>
      </w:r>
      <w:r>
        <w:rPr>
          <w:rFonts w:hint="eastAsia" w:ascii="仿宋_GB2312" w:hAnsi="仿宋_GB2312" w:eastAsia="仿宋_GB2312" w:cs="仿宋_GB2312"/>
          <w:sz w:val="32"/>
          <w:szCs w:val="32"/>
          <w:lang w:eastAsia="zh-CN"/>
        </w:rPr>
        <w:t>《办法（修订草案）》</w:t>
      </w:r>
      <w:r>
        <w:rPr>
          <w:rFonts w:hint="eastAsia" w:ascii="仿宋_GB2312" w:hAnsi="仿宋_GB2312" w:eastAsia="仿宋_GB2312" w:cs="仿宋_GB2312"/>
          <w:sz w:val="32"/>
          <w:szCs w:val="32"/>
        </w:rPr>
        <w:t>明确，管委会统筹金山区、奉贤区政府合理布局、规范设置紧急避难场所，保障疏散避险需求。</w:t>
      </w:r>
    </w:p>
    <w:p w14:paraId="631524B4">
      <w:pPr>
        <w:snapToGrid w:val="0"/>
        <w:spacing w:line="579" w:lineRule="exact"/>
        <w:ind w:firstLine="684" w:firstLineChars="21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（十一）明确其他保障措施（第二十四、二十五、二十六、二十七条）。</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数智化转型。以安全生产、生态环保、科技创新等场景应用为牵引，构建一体化数据共享体系，推动产业全链条数字化、智能化转型，提升化工区精准治理能力、企业智能生产水平和公用配套协同运行效能。</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资金保障。设立化工区专项发展资金，用于化工区的开发、建设和发展。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人才保障。推进产教融合，协同培养符合化工区发展导向的专业人才；对符合化工区产业发展方向的紧缺急需人才，在引进、激励等方面提供支持和保障。</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开展统计工作。管委会按照本市统计调查制度要求，履行化工区在地统计工作职责。</w:t>
      </w:r>
    </w:p>
    <w:p w14:paraId="3D2DF95D">
      <w:pPr>
        <w:widowControl/>
        <w:snapToGrid w:val="0"/>
        <w:spacing w:line="579" w:lineRule="exact"/>
        <w:ind w:firstLine="639" w:firstLineChars="213"/>
        <w:rPr>
          <w:rFonts w:hint="eastAsia" w:ascii="仿宋_GB2312" w:hAnsi="仿宋_GB2312" w:eastAsia="仿宋_GB2312" w:cs="仿宋_GB2312"/>
          <w:sz w:val="30"/>
          <w:szCs w:val="30"/>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DE50F3-6030-483C-B004-CEF39FF12D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D93CF3D3-123C-4835-9D85-B7B68DBC849A}"/>
  </w:font>
  <w:font w:name="方正小标宋简体">
    <w:panose1 w:val="03000509000000000000"/>
    <w:charset w:val="86"/>
    <w:family w:val="auto"/>
    <w:pitch w:val="default"/>
    <w:sig w:usb0="00000001" w:usb1="080E0000" w:usb2="00000000" w:usb3="00000000" w:csb0="00040000" w:csb1="00000000"/>
    <w:embedRegular r:id="rId3" w:fontKey="{125CCF45-B293-4A40-BF06-913B54BFCD60}"/>
  </w:font>
  <w:font w:name="仿宋_GB2312">
    <w:panose1 w:val="02010609030101010101"/>
    <w:charset w:val="86"/>
    <w:family w:val="modern"/>
    <w:pitch w:val="default"/>
    <w:sig w:usb0="00000001" w:usb1="080E0000" w:usb2="00000000" w:usb3="00000000" w:csb0="00040000" w:csb1="00000000"/>
    <w:embedRegular r:id="rId4" w:fontKey="{3D1546AB-06FA-453E-9FB3-84A2CFE4AA36}"/>
  </w:font>
  <w:font w:name="楷体_GB2312">
    <w:panose1 w:val="02010609030101010101"/>
    <w:charset w:val="86"/>
    <w:family w:val="auto"/>
    <w:pitch w:val="default"/>
    <w:sig w:usb0="00000001" w:usb1="080E0000" w:usb2="00000000" w:usb3="00000000" w:csb0="00040000" w:csb1="00000000"/>
    <w:embedRegular r:id="rId5" w:fontKey="{622A0158-37B8-4C68-8E9C-25B52A2211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1A4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-99060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F7AC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8pt;height:144pt;width:144pt;mso-position-horizontal:outside;mso-position-horizontal-relative:margin;mso-wrap-style:none;z-index:251659264;mso-width-relative:page;mso-height-relative:page;" filled="f" stroked="f" coordsize="21600,21600" o:gfxdata="UEsDBAoAAAAAAIdO4kAAAAAAAAAAAAAAAAAEAAAAZHJzL1BLAwQUAAAACACHTuJAzF1CEd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bp/RYEy1me8+XIw0O2&#10;AVmV8rJA9Qt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F1CEd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002F7AC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61D03"/>
    <w:rsid w:val="005173CA"/>
    <w:rsid w:val="005D7FE0"/>
    <w:rsid w:val="00607FFB"/>
    <w:rsid w:val="009639C6"/>
    <w:rsid w:val="00C464CC"/>
    <w:rsid w:val="00CC279D"/>
    <w:rsid w:val="00D06652"/>
    <w:rsid w:val="00D112EE"/>
    <w:rsid w:val="00DE6AFA"/>
    <w:rsid w:val="00F23C5C"/>
    <w:rsid w:val="00F64D9D"/>
    <w:rsid w:val="06043E9E"/>
    <w:rsid w:val="07372051"/>
    <w:rsid w:val="0D27321C"/>
    <w:rsid w:val="13E43594"/>
    <w:rsid w:val="148B5332"/>
    <w:rsid w:val="14F8029C"/>
    <w:rsid w:val="19406B43"/>
    <w:rsid w:val="23550D28"/>
    <w:rsid w:val="24C90335"/>
    <w:rsid w:val="25EB79BD"/>
    <w:rsid w:val="26B75F6B"/>
    <w:rsid w:val="27494F34"/>
    <w:rsid w:val="2D1C4D7A"/>
    <w:rsid w:val="2E262DBE"/>
    <w:rsid w:val="2E6966E5"/>
    <w:rsid w:val="31E23B1D"/>
    <w:rsid w:val="37305215"/>
    <w:rsid w:val="37F94BAD"/>
    <w:rsid w:val="38673477"/>
    <w:rsid w:val="38991974"/>
    <w:rsid w:val="3BCF6354"/>
    <w:rsid w:val="47462CC7"/>
    <w:rsid w:val="4792466A"/>
    <w:rsid w:val="4B182BCD"/>
    <w:rsid w:val="4E54216E"/>
    <w:rsid w:val="4E961D03"/>
    <w:rsid w:val="5C721CCE"/>
    <w:rsid w:val="5DAB0E47"/>
    <w:rsid w:val="5F2913F5"/>
    <w:rsid w:val="61FA2BD4"/>
    <w:rsid w:val="674355EC"/>
    <w:rsid w:val="69771617"/>
    <w:rsid w:val="6B2A57D8"/>
    <w:rsid w:val="6B4750DC"/>
    <w:rsid w:val="6B80379B"/>
    <w:rsid w:val="6CA11ED0"/>
    <w:rsid w:val="70DE78BA"/>
    <w:rsid w:val="73E35F51"/>
    <w:rsid w:val="77BE1F34"/>
    <w:rsid w:val="7CE414EF"/>
    <w:rsid w:val="7ED5213F"/>
    <w:rsid w:val="7F5F36D6"/>
    <w:rsid w:val="7F7F47EC"/>
    <w:rsid w:val="DFC53FC0"/>
    <w:rsid w:val="FD7E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03a0648e-9f60-40f7-a3d3-855013451493</errorID>
      <errorWord>（</errorWord>
      <group>L1_Punc</group>
      <groupName>标点问题</groupName>
      <ability>L2_Punc</ability>
      <abilityName>标点符号检查</abilityName>
      <candidateList/>
      <explain>同一形式括号套用。</explain>
      <paraID>2372348A</paraID>
      <start>85</start>
      <end>86</end>
      <status>unmodified</status>
      <modifiedWord/>
      <trackRevisions>false</trackRevisions>
    </reviewItem>
    <reviewItem>
      <errorID>01d31097-f92d-4c0a-8eb7-d15f6ed039a8</errorID>
      <errorWord>）</errorWord>
      <group>L1_Punc</group>
      <groupName>标点问题</groupName>
      <ability>L2_Punc</ability>
      <abilityName>标点符号检查</abilityName>
      <candidateList/>
      <explain>同一形式括号套用。</explain>
      <paraID>2372348A</paraID>
      <start>90</start>
      <end>91</end>
      <status>unmodified</status>
      <modifiedWord/>
      <trackRevisions>false</trackRevisions>
    </reviewItem>
    <reviewItem>
      <errorID>b75a212a-0187-4415-9278-2f2882de9b57</errorID>
      <errorWord>进</errorWord>
      <group>L1_Grammar</group>
      <groupName>语法问题</groupName>
      <ability>L2_Confusion</ability>
      <abilityName>结构混乱</abilityName>
      <candidateList>
        <item>，进</item>
      </candidateList>
      <explain>句子中可能存在两种以上的句法结构，导致结构混乱。</explain>
      <paraID>7971A480</paraID>
      <start>140</start>
      <end>141</end>
      <status>unmodified</status>
      <modifiedWord/>
      <trackRevisions>false</trackRevisions>
    </reviewItem>
    <reviewItem>
      <errorID>1c54a6c2-1623-493b-acf5-1d645465695b</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54129D0E</paraID>
      <start>105</start>
      <end>116</end>
      <status>unmodified</status>
      <modifiedWord/>
      <trackRevisions>false</trackRevisions>
    </reviewItem>
    <reviewItem>
      <errorID>31f77132-eaf1-48c2-8fc9-7f8480dd0388</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54129D0E</paraID>
      <start>181</start>
      <end>192</end>
      <status>unmodified</status>
      <modifiedWord/>
      <trackRevisions>false</trackRevisions>
    </reviewItem>
    <reviewItem>
      <errorID>0d8161d0-4331-4c10-8766-63b81f280b63</errorID>
      <errorWord>《行政许可法》</errorWord>
      <group>L1_Word</group>
      <groupName>字词问题</groupName>
      <ability>L2_Typo</ability>
      <abilityName>字词错误</abilityName>
      <candidateList>
        <item>《中华人民共和国行政许可法》</item>
      </candidateList>
      <explain/>
      <paraID>16ED9888</paraID>
      <start>21</start>
      <end>28</end>
      <status>unmodified</status>
      <modifiedWord/>
      <trackRevisions>false</trackRevisions>
    </reviewItem>
    <reviewItem>
      <errorID>a52b21fe-20d8-475d-a1b3-ee6828a8aad5</errorID>
      <errorWord>、</errorWord>
      <group>L1_Word</group>
      <groupName>字词问题</groupName>
      <ability>L2_Typo</ability>
      <abilityName>字词错误</abilityName>
      <candidateList>
        <item>、第</item>
      </candidateList>
      <explain/>
      <paraID>75E8C24C</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AD50E-4592-40A8-A30C-EA43CFEDF04B}">
  <ds:schemaRefs/>
</ds:datastoreItem>
</file>

<file path=docProps/app.xml><?xml version="1.0" encoding="utf-8"?>
<Properties xmlns="http://schemas.openxmlformats.org/officeDocument/2006/extended-properties" xmlns:vt="http://schemas.openxmlformats.org/officeDocument/2006/docPropsVTypes">
  <Template>Normal</Template>
  <Pages>7</Pages>
  <Words>3481</Words>
  <Characters>3486</Characters>
  <Lines>25</Lines>
  <Paragraphs>7</Paragraphs>
  <TotalTime>25</TotalTime>
  <ScaleCrop>false</ScaleCrop>
  <LinksUpToDate>false</LinksUpToDate>
  <CharactersWithSpaces>3486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2026-03-20T10:41:00Z</dcterms:created>
  <dc:creator>61482</dc:creator>
  <cp:lastModifiedBy>12892</cp:lastModifiedBy>
  <dcterms:modified xsi:type="dcterms:W3CDTF">2026-04-03T07:00:17Z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B80AD94ADF0C4594897F27B36248A016_13</vt:lpwstr>
  </property>
  <property fmtid="{D5CDD505-2E9C-101B-9397-08002B2CF9AE}" pid="4" name="KSOTemplateDocerSaveRecord">
    <vt:lpwstr>eyJoZGlkIjoiYWFmMzUzYTE3YWU5NTBkOGI5M2NmNTU2MmRlNWM1YWYiLCJ1c2VySWQiOiIyNDA3OTE3MzAifQ==</vt:lpwstr>
  </property>
</Properties>
</file>